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CB5" w:rsidRDefault="00F47CE0">
      <w:pPr>
        <w:ind w:firstLineChars="0" w:firstLine="0"/>
        <w:jc w:val="center"/>
        <w:outlineLvl w:val="0"/>
        <w:rPr>
          <w:rFonts w:ascii="黑体" w:eastAsia="黑体" w:hAnsi="黑体"/>
          <w:sz w:val="36"/>
          <w:szCs w:val="36"/>
          <w:u w:val="single"/>
        </w:rPr>
      </w:pPr>
      <w:r>
        <w:rPr>
          <w:rFonts w:ascii="黑体" w:eastAsia="黑体" w:hAnsi="黑体" w:hint="eastAsia"/>
          <w:sz w:val="36"/>
          <w:szCs w:val="36"/>
          <w:u w:val="single"/>
        </w:rPr>
        <w:t>《市场营销》考试大纲</w:t>
      </w:r>
    </w:p>
    <w:tbl>
      <w:tblPr>
        <w:tblW w:w="9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16"/>
        <w:gridCol w:w="885"/>
        <w:gridCol w:w="886"/>
        <w:gridCol w:w="1057"/>
        <w:gridCol w:w="714"/>
        <w:gridCol w:w="987"/>
        <w:gridCol w:w="784"/>
        <w:gridCol w:w="917"/>
        <w:gridCol w:w="854"/>
      </w:tblGrid>
      <w:tr w:rsidR="00C43CB5">
        <w:trPr>
          <w:trHeight w:val="435"/>
        </w:trPr>
        <w:tc>
          <w:tcPr>
            <w:tcW w:w="1276" w:type="dxa"/>
            <w:vAlign w:val="center"/>
          </w:tcPr>
          <w:p w:rsidR="00C43CB5" w:rsidRDefault="00F47CE0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课程名称</w:t>
            </w:r>
          </w:p>
        </w:tc>
        <w:tc>
          <w:tcPr>
            <w:tcW w:w="4258" w:type="dxa"/>
            <w:gridSpan w:val="5"/>
            <w:vAlign w:val="center"/>
          </w:tcPr>
          <w:p w:rsidR="00C43CB5" w:rsidRDefault="00F47CE0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eastAsia="仿宋" w:hint="eastAsia"/>
                <w:szCs w:val="21"/>
              </w:rPr>
              <w:t>市场营销</w:t>
            </w:r>
          </w:p>
        </w:tc>
        <w:tc>
          <w:tcPr>
            <w:tcW w:w="987" w:type="dxa"/>
            <w:vAlign w:val="center"/>
          </w:tcPr>
          <w:p w:rsidR="00C43CB5" w:rsidRDefault="00F47CE0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课程编号</w:t>
            </w:r>
          </w:p>
        </w:tc>
        <w:tc>
          <w:tcPr>
            <w:tcW w:w="2555" w:type="dxa"/>
            <w:gridSpan w:val="3"/>
            <w:vAlign w:val="center"/>
          </w:tcPr>
          <w:p w:rsidR="00C43CB5" w:rsidRDefault="00C43CB5">
            <w:pPr>
              <w:adjustRightInd w:val="0"/>
              <w:snapToGrid w:val="0"/>
              <w:ind w:firstLine="482"/>
              <w:jc w:val="center"/>
              <w:rPr>
                <w:rFonts w:eastAsia="仿宋"/>
                <w:b/>
              </w:rPr>
            </w:pPr>
          </w:p>
        </w:tc>
      </w:tr>
      <w:tr w:rsidR="00C43CB5">
        <w:trPr>
          <w:cantSplit/>
          <w:trHeight w:val="435"/>
        </w:trPr>
        <w:tc>
          <w:tcPr>
            <w:tcW w:w="1276" w:type="dxa"/>
            <w:vAlign w:val="center"/>
          </w:tcPr>
          <w:p w:rsidR="00C43CB5" w:rsidRDefault="00F47CE0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英文名称</w:t>
            </w:r>
          </w:p>
        </w:tc>
        <w:tc>
          <w:tcPr>
            <w:tcW w:w="7800" w:type="dxa"/>
            <w:gridSpan w:val="9"/>
            <w:vAlign w:val="center"/>
          </w:tcPr>
          <w:p w:rsidR="00C43CB5" w:rsidRDefault="00C43CB5">
            <w:pPr>
              <w:adjustRightInd w:val="0"/>
              <w:snapToGrid w:val="0"/>
              <w:ind w:firstLine="480"/>
              <w:rPr>
                <w:rFonts w:eastAsia="仿宋" w:hAnsi="仿宋"/>
              </w:rPr>
            </w:pPr>
          </w:p>
        </w:tc>
      </w:tr>
      <w:tr w:rsidR="00C43CB5">
        <w:trPr>
          <w:cantSplit/>
          <w:trHeight w:val="435"/>
        </w:trPr>
        <w:tc>
          <w:tcPr>
            <w:tcW w:w="1276" w:type="dxa"/>
            <w:vAlign w:val="center"/>
          </w:tcPr>
          <w:p w:rsidR="00C43CB5" w:rsidRDefault="00F47CE0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适用专业</w:t>
            </w:r>
          </w:p>
        </w:tc>
        <w:tc>
          <w:tcPr>
            <w:tcW w:w="7800" w:type="dxa"/>
            <w:gridSpan w:val="9"/>
            <w:vAlign w:val="center"/>
          </w:tcPr>
          <w:p w:rsidR="00C43CB5" w:rsidRDefault="00F47CE0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ascii="仿宋" w:eastAsia="仿宋" w:hAnsi="仿宋" w:hint="eastAsia"/>
              </w:rPr>
              <w:t>工商管理类专升本学生</w:t>
            </w:r>
          </w:p>
        </w:tc>
      </w:tr>
      <w:tr w:rsidR="00C43CB5">
        <w:trPr>
          <w:cantSplit/>
          <w:trHeight w:val="435"/>
        </w:trPr>
        <w:tc>
          <w:tcPr>
            <w:tcW w:w="1276" w:type="dxa"/>
            <w:vAlign w:val="center"/>
          </w:tcPr>
          <w:p w:rsidR="00C43CB5" w:rsidRDefault="00F47CE0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课程性质</w:t>
            </w:r>
          </w:p>
        </w:tc>
        <w:tc>
          <w:tcPr>
            <w:tcW w:w="7800" w:type="dxa"/>
            <w:gridSpan w:val="9"/>
            <w:vAlign w:val="center"/>
          </w:tcPr>
          <w:p w:rsidR="00C43CB5" w:rsidRDefault="00C43CB5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</w:p>
        </w:tc>
      </w:tr>
      <w:tr w:rsidR="00C43CB5">
        <w:trPr>
          <w:cantSplit/>
          <w:trHeight w:val="435"/>
        </w:trPr>
        <w:tc>
          <w:tcPr>
            <w:tcW w:w="1276" w:type="dxa"/>
            <w:vAlign w:val="center"/>
          </w:tcPr>
          <w:p w:rsidR="00C43CB5" w:rsidRDefault="00F47CE0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总</w:t>
            </w:r>
            <w:r>
              <w:rPr>
                <w:rFonts w:eastAsia="仿宋"/>
                <w:b/>
              </w:rPr>
              <w:t xml:space="preserve"> </w:t>
            </w:r>
            <w:r>
              <w:rPr>
                <w:rFonts w:eastAsia="仿宋"/>
                <w:b/>
              </w:rPr>
              <w:t>学</w:t>
            </w:r>
            <w:r>
              <w:rPr>
                <w:rFonts w:eastAsia="仿宋"/>
                <w:b/>
              </w:rPr>
              <w:t xml:space="preserve"> </w:t>
            </w:r>
            <w:r>
              <w:rPr>
                <w:rFonts w:eastAsia="仿宋"/>
                <w:b/>
              </w:rPr>
              <w:t>时</w:t>
            </w:r>
          </w:p>
        </w:tc>
        <w:tc>
          <w:tcPr>
            <w:tcW w:w="716" w:type="dxa"/>
            <w:vAlign w:val="center"/>
          </w:tcPr>
          <w:p w:rsidR="00C43CB5" w:rsidRDefault="00C43CB5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885" w:type="dxa"/>
            <w:vAlign w:val="center"/>
          </w:tcPr>
          <w:p w:rsidR="00C43CB5" w:rsidRDefault="00F47CE0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学分</w:t>
            </w:r>
          </w:p>
        </w:tc>
        <w:tc>
          <w:tcPr>
            <w:tcW w:w="886" w:type="dxa"/>
            <w:vAlign w:val="center"/>
          </w:tcPr>
          <w:p w:rsidR="00C43CB5" w:rsidRDefault="00C43CB5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057" w:type="dxa"/>
            <w:vAlign w:val="center"/>
          </w:tcPr>
          <w:p w:rsidR="00C43CB5" w:rsidRDefault="00F47CE0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理论学时</w:t>
            </w:r>
          </w:p>
        </w:tc>
        <w:tc>
          <w:tcPr>
            <w:tcW w:w="714" w:type="dxa"/>
            <w:vAlign w:val="center"/>
          </w:tcPr>
          <w:p w:rsidR="00C43CB5" w:rsidRDefault="00C43CB5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87" w:type="dxa"/>
            <w:vAlign w:val="center"/>
          </w:tcPr>
          <w:p w:rsidR="00C43CB5" w:rsidRDefault="00F47CE0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实践学时</w:t>
            </w:r>
          </w:p>
        </w:tc>
        <w:tc>
          <w:tcPr>
            <w:tcW w:w="784" w:type="dxa"/>
            <w:vAlign w:val="center"/>
          </w:tcPr>
          <w:p w:rsidR="00C43CB5" w:rsidRDefault="00C43CB5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17" w:type="dxa"/>
            <w:vAlign w:val="center"/>
          </w:tcPr>
          <w:p w:rsidR="00C43CB5" w:rsidRDefault="00F47CE0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上机学时</w:t>
            </w:r>
          </w:p>
        </w:tc>
        <w:tc>
          <w:tcPr>
            <w:tcW w:w="854" w:type="dxa"/>
            <w:vAlign w:val="center"/>
          </w:tcPr>
          <w:p w:rsidR="00C43CB5" w:rsidRDefault="00C43CB5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</w:tr>
    </w:tbl>
    <w:p w:rsidR="00C43CB5" w:rsidRDefault="00C43CB5">
      <w:pPr>
        <w:spacing w:line="240" w:lineRule="auto"/>
        <w:ind w:firstLine="480"/>
        <w:rPr>
          <w:rFonts w:ascii="黑体" w:eastAsia="黑体" w:hAnsi="宋体"/>
        </w:rPr>
      </w:pPr>
    </w:p>
    <w:p w:rsidR="00C43CB5" w:rsidRDefault="00F47CE0">
      <w:pPr>
        <w:spacing w:line="240" w:lineRule="auto"/>
        <w:ind w:firstLine="48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一、考试对象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工商管理类专业专升本学生</w:t>
      </w:r>
    </w:p>
    <w:p w:rsidR="00C43CB5" w:rsidRDefault="00C43CB5">
      <w:pPr>
        <w:spacing w:line="240" w:lineRule="auto"/>
        <w:ind w:firstLine="480"/>
        <w:rPr>
          <w:rFonts w:ascii="黑体" w:eastAsia="黑体" w:hAnsi="宋体"/>
        </w:rPr>
      </w:pPr>
    </w:p>
    <w:p w:rsidR="00C43CB5" w:rsidRDefault="00F47CE0">
      <w:pPr>
        <w:spacing w:line="240" w:lineRule="auto"/>
        <w:ind w:firstLine="48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二、考试目的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本考试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要求考生具备识记、领会、简单应用和综合运用能力。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识记：能知道有关概念、名词、知识的意思并能够正确认识和表达。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领会：在识记的基础上，能全面把握基本概念、基本原则、基本原理、基本理论和基本制度；能掌握有关概念、有关制度的联系和区别；能识别基本概念、原理、制度的特征。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简单应用：在领会的基础上，能用所学的知识点分析和处理较简单的应用实例。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4.</w:t>
      </w:r>
      <w:r>
        <w:rPr>
          <w:rFonts w:asciiTheme="minorEastAsia" w:eastAsiaTheme="minorEastAsia" w:hAnsiTheme="minorEastAsia" w:hint="eastAsia"/>
          <w:sz w:val="21"/>
          <w:szCs w:val="21"/>
        </w:rPr>
        <w:t>综合运用：指能综合运用所学管理学的知识解决一些较复杂的应用实例。</w:t>
      </w:r>
    </w:p>
    <w:p w:rsidR="00C43CB5" w:rsidRDefault="00C43CB5">
      <w:pPr>
        <w:spacing w:line="240" w:lineRule="auto"/>
        <w:ind w:firstLine="480"/>
        <w:rPr>
          <w:rFonts w:ascii="黑体" w:eastAsia="黑体" w:hAnsi="宋体"/>
        </w:rPr>
      </w:pPr>
    </w:p>
    <w:p w:rsidR="00C43CB5" w:rsidRDefault="00F47CE0">
      <w:pPr>
        <w:spacing w:line="240" w:lineRule="auto"/>
        <w:ind w:firstLine="48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三、考试方法和考试时间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考试方法：笔试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记分方式：百分制，满分为</w:t>
      </w:r>
      <w:r>
        <w:rPr>
          <w:rFonts w:asciiTheme="minorEastAsia" w:eastAsiaTheme="minorEastAsia" w:hAnsiTheme="minorEastAsia" w:hint="eastAsia"/>
          <w:sz w:val="21"/>
          <w:szCs w:val="21"/>
        </w:rPr>
        <w:t>100</w:t>
      </w:r>
      <w:r>
        <w:rPr>
          <w:rFonts w:asciiTheme="minorEastAsia" w:eastAsiaTheme="minorEastAsia" w:hAnsiTheme="minorEastAsia" w:hint="eastAsia"/>
          <w:sz w:val="21"/>
          <w:szCs w:val="21"/>
        </w:rPr>
        <w:t>分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考试时间：</w:t>
      </w:r>
      <w:r>
        <w:rPr>
          <w:rFonts w:asciiTheme="minorEastAsia" w:eastAsiaTheme="minorEastAsia" w:hAnsiTheme="minorEastAsia" w:hint="eastAsia"/>
          <w:sz w:val="21"/>
          <w:szCs w:val="21"/>
        </w:rPr>
        <w:t>120</w:t>
      </w:r>
      <w:r>
        <w:rPr>
          <w:rFonts w:asciiTheme="minorEastAsia" w:eastAsiaTheme="minorEastAsia" w:hAnsiTheme="minorEastAsia" w:hint="eastAsia"/>
          <w:sz w:val="21"/>
          <w:szCs w:val="21"/>
        </w:rPr>
        <w:t>分钟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4.</w:t>
      </w:r>
      <w:r>
        <w:rPr>
          <w:rFonts w:asciiTheme="minorEastAsia" w:eastAsiaTheme="minorEastAsia" w:hAnsiTheme="minorEastAsia" w:hint="eastAsia"/>
          <w:sz w:val="21"/>
          <w:szCs w:val="21"/>
        </w:rPr>
        <w:t>命题的指导思想和原则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命题的总的指导思想是：全面考查学生对本课程的基本概念、基本原理和主要知识点学习、理解和掌握及应用的情况。命题的原则是：题目类型多、份量适中，范围广；单选、多选和判断题等客观题占</w:t>
      </w:r>
      <w:r>
        <w:rPr>
          <w:rFonts w:asciiTheme="minorEastAsia" w:eastAsiaTheme="minorEastAsia" w:hAnsiTheme="minorEastAsia" w:hint="eastAsia"/>
          <w:sz w:val="21"/>
          <w:szCs w:val="21"/>
        </w:rPr>
        <w:t>50%</w:t>
      </w:r>
      <w:r>
        <w:rPr>
          <w:rFonts w:asciiTheme="minorEastAsia" w:eastAsiaTheme="minorEastAsia" w:hAnsiTheme="minorEastAsia" w:hint="eastAsia"/>
          <w:sz w:val="21"/>
          <w:szCs w:val="21"/>
        </w:rPr>
        <w:t>；最基本的知识一般占</w:t>
      </w:r>
      <w:r>
        <w:rPr>
          <w:rFonts w:asciiTheme="minorEastAsia" w:eastAsiaTheme="minorEastAsia" w:hAnsiTheme="minorEastAsia" w:hint="eastAsia"/>
          <w:sz w:val="21"/>
          <w:szCs w:val="21"/>
        </w:rPr>
        <w:t>55</w:t>
      </w:r>
      <w:r w:rsidR="001F78E6">
        <w:rPr>
          <w:rFonts w:asciiTheme="minorEastAsia" w:eastAsiaTheme="minorEastAsia" w:hAnsiTheme="minorEastAsia" w:hint="eastAsia"/>
          <w:sz w:val="21"/>
          <w:szCs w:val="21"/>
        </w:rPr>
        <w:t>％左右，难度中等的</w:t>
      </w:r>
      <w:r>
        <w:rPr>
          <w:rFonts w:asciiTheme="minorEastAsia" w:eastAsiaTheme="minorEastAsia" w:hAnsiTheme="minorEastAsia" w:hint="eastAsia"/>
          <w:sz w:val="21"/>
          <w:szCs w:val="21"/>
        </w:rPr>
        <w:t>题目占</w:t>
      </w:r>
      <w:r>
        <w:rPr>
          <w:rFonts w:asciiTheme="minorEastAsia" w:eastAsiaTheme="minorEastAsia" w:hAnsiTheme="minorEastAsia" w:hint="eastAsia"/>
          <w:sz w:val="21"/>
          <w:szCs w:val="21"/>
        </w:rPr>
        <w:t>25</w:t>
      </w:r>
      <w:r>
        <w:rPr>
          <w:rFonts w:asciiTheme="minorEastAsia" w:eastAsiaTheme="minorEastAsia" w:hAnsiTheme="minorEastAsia" w:hint="eastAsia"/>
          <w:sz w:val="21"/>
          <w:szCs w:val="21"/>
        </w:rPr>
        <w:t>％左右，较难的综合性的题目要占</w:t>
      </w:r>
      <w:r>
        <w:rPr>
          <w:rFonts w:asciiTheme="minorEastAsia" w:eastAsiaTheme="minorEastAsia" w:hAnsiTheme="minorEastAsia" w:hint="eastAsia"/>
          <w:sz w:val="21"/>
          <w:szCs w:val="21"/>
        </w:rPr>
        <w:t>20</w:t>
      </w:r>
      <w:r>
        <w:rPr>
          <w:rFonts w:asciiTheme="minorEastAsia" w:eastAsiaTheme="minorEastAsia" w:hAnsiTheme="minorEastAsia" w:hint="eastAsia"/>
          <w:sz w:val="21"/>
          <w:szCs w:val="21"/>
        </w:rPr>
        <w:t>％左右。</w:t>
      </w:r>
    </w:p>
    <w:p w:rsidR="00C43CB5" w:rsidRDefault="00C43CB5">
      <w:pPr>
        <w:spacing w:line="240" w:lineRule="auto"/>
        <w:ind w:firstLine="480"/>
        <w:rPr>
          <w:rFonts w:ascii="黑体" w:eastAsia="黑体" w:hAnsi="宋体"/>
        </w:rPr>
      </w:pPr>
    </w:p>
    <w:p w:rsidR="00C43CB5" w:rsidRDefault="00F47CE0">
      <w:pPr>
        <w:spacing w:line="240" w:lineRule="auto"/>
        <w:ind w:firstLine="48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四、考试内容、要求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第一章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市场营销概述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市场的概念；市场营销的相关概念；市场营销的学科性质；市场营销管理的概念及其本质；需求状况及其相应的营销管理任务；市场营销管理哲学的本质及其演进过程；不同营销管理哲学的比较；顾</w:t>
      </w:r>
      <w:r>
        <w:rPr>
          <w:rFonts w:asciiTheme="minorEastAsia" w:eastAsiaTheme="minorEastAsia" w:hAnsiTheme="minorEastAsia" w:hint="eastAsia"/>
          <w:sz w:val="21"/>
          <w:szCs w:val="21"/>
        </w:rPr>
        <w:t>客价值的概念及其构成；顾客满意理论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识记：市场的概念，市场营销的相关概念，市场营销管理的概念及其本质，顾客价值的概念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了解：市场营销的学科性质，市场营销管理哲学的本质及其演进过程，不同营销管理哲学的比较；顾客满意理论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简单应用：需求状况及其相应的营销管理任务；顾客价值构成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第二章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市场营销环境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市场营销环境的概念及其特征；宏观环境、微观环境的概念；宏观环境因素；微观环境因素，环境威胁、市场机会的概念及其分析矩阵，综合分析矩阵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识记：市场营销环境的概念；宏</w:t>
      </w:r>
      <w:r>
        <w:rPr>
          <w:rFonts w:asciiTheme="minorEastAsia" w:eastAsiaTheme="minorEastAsia" w:hAnsiTheme="minorEastAsia" w:hint="eastAsia"/>
          <w:sz w:val="21"/>
          <w:szCs w:val="21"/>
        </w:rPr>
        <w:t>观环境、微观环境的概念；环境威胁、市场机会的概念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了解：市场营销环境的特征；宏观环境因素；微观环境因素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简单应用：环境威胁、市场机会分析矩阵，综合分析矩阵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第三章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消费者市场和购买行为分析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消费者市场的概念及其特点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21"/>
          <w:szCs w:val="21"/>
        </w:rPr>
        <w:t>；消费者购买行为的研究方法及研究模式；消费者购买行为类型的行为特征及营销对策；消费者购买决策过程的参与者；消费者购买决策过程；消费者购买行为的内在影响因素；消费者购买行为的外在影响因素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识记：消费者市场的概念及其特点；消费者购买行为的研究模式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了解：消费者购买行为类型的行为特征及营销对策；消费者购买行为的内在影响因素；消费者购买行为的外在影响因素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简单应用：消费者购买行为的研究方法；消费者购买决策过程的参与者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</w:t>
      </w:r>
      <w:r>
        <w:rPr>
          <w:rFonts w:asciiTheme="minorEastAsia" w:eastAsiaTheme="minorEastAsia" w:hAnsiTheme="minorEastAsia" w:hint="eastAsia"/>
          <w:sz w:val="21"/>
          <w:szCs w:val="21"/>
        </w:rPr>
        <w:t>、综合应用：消费者购买决策过程各阶段及企业相应的营销策略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第五章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市场营销调研与预测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市场营销调研的含义、作用与类型；市场营销调研的内容；市场调研的步骤；市场调研的方法；市场调查问卷的设计；市场的层次；市场需求测量的方法；市场预测的概念与方法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识记：市场营销调研的含义、作用与类型；市场的层次；市场预测的概念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了解：市场营销调研的内容；市场调研的步骤；市场调研的方法；市场需求测量的方法；市场预测方法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简单应用：市场调查问卷的设计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</w:t>
      </w:r>
      <w:r>
        <w:rPr>
          <w:rFonts w:asciiTheme="minorEastAsia" w:eastAsiaTheme="minorEastAsia" w:hAnsiTheme="minorEastAsia" w:hint="eastAsia"/>
          <w:sz w:val="21"/>
          <w:szCs w:val="21"/>
        </w:rPr>
        <w:t>、综合应用：开展一次小型的调研活动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第六章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企业战略规划与营销管理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企业战略的概念、特征及其层次；企业使命的界定；规划投资组合；规划成长战略；一般性竞争战略的类型；市场营销管理的过程；市场营销组合策略的特征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识记：企业战略的概念、特征及其层次；一般性竞争战略的类型；市场营销组合策略的特征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了解：企业使命的界定；市场营销管理的过程</w:t>
      </w:r>
    </w:p>
    <w:p w:rsidR="00C43CB5" w:rsidRDefault="00F47CE0">
      <w:pPr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简单应用：规划投资组合；规划成长战略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第七章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目标市场营销战略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市场细分的概念、作用；市场细分战略的产生和发展；市场细分的原理；市场细分的依据；市场细分的原则；目标市场的评价；目标市场的选择范围；目标市场营销战略的优缺点及其选择条件；市场定位的概念；市场定位的方式；市场定位的步骤；市场定位的战略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识记：市场细分的概念、作用；市场细分的依据；市场细分的原则；市场定位的概念；市场定位的方式；市场定位的战略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了解：市场细分战略的产生和发展；市场细分的原理；目标市场的评价；目标市场的选择范围；目标市场营销战略的优缺点</w:t>
      </w:r>
    </w:p>
    <w:p w:rsidR="00C43CB5" w:rsidRDefault="00F47CE0">
      <w:pPr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简单应用：目标市场营销战略的选择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C43CB5" w:rsidRDefault="00F47CE0">
      <w:pPr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</w:t>
      </w:r>
      <w:r>
        <w:rPr>
          <w:rFonts w:asciiTheme="minorEastAsia" w:eastAsiaTheme="minorEastAsia" w:hAnsiTheme="minorEastAsia" w:hint="eastAsia"/>
          <w:sz w:val="21"/>
          <w:szCs w:val="21"/>
        </w:rPr>
        <w:t>、综合应用：市场定位的战略的实施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第八章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产品策略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产品的概念；产品整体概念的层次；产品的分类；产品组合的相关概念、四个维度；优化产品组合的分析；产品组合决策；产品生命周期概念及阶段划分；产品生命周期的其他形</w:t>
      </w: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态，产品生命周期各阶段特点及其相应的营销对策；新产品的概念及类型；新产品的开发过程；新产品的市场扩散；品牌的定义及内涵；品牌的命名原则；品牌的决策；品牌资产的概念及其特征；包装的含义及作用；包装设计的原则；包装策略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识记：产品的概念；产品组合的相关概念、四个维度；产品生命</w:t>
      </w:r>
      <w:r>
        <w:rPr>
          <w:rFonts w:asciiTheme="minorEastAsia" w:eastAsiaTheme="minorEastAsia" w:hAnsiTheme="minorEastAsia" w:hint="eastAsia"/>
          <w:sz w:val="21"/>
          <w:szCs w:val="21"/>
        </w:rPr>
        <w:t>周期概念及阶段划分；新产品的概念及类型；品牌的定义及内涵；品牌资产的概念及其特征；包装的含义及作用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了解：产品整体概念的层次；产品的分类；优化产品组合的分析；产品组合决策；产品生命周期的其他形态；新产品的开发过程；新产品的市场扩散；品牌的决策；包装设计的原则；包装策略</w:t>
      </w:r>
    </w:p>
    <w:p w:rsidR="00C43CB5" w:rsidRDefault="00F47CE0">
      <w:pPr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简单应用：产品生命周期各阶段特点及其相应的营销对策；品牌的命名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第九章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定价策略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价格的组成；定价的目标；影响定价的主要因素；定价的一般方法；定价策略；价格调整的条件及方式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识记：价格的组成；定价的目标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了解：影响定价的主要因素；价格调整的条件及方式</w:t>
      </w:r>
    </w:p>
    <w:p w:rsidR="00C43CB5" w:rsidRDefault="00F47CE0">
      <w:pPr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简单应用：定价的一般方法；各种定价策略的运用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第十章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分销渠道策略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分销渠道的概念与特征；营销渠道的概念；分销渠道的类型；分销渠道设计的影响因素；分销渠道的设计步骤；分销渠道的管理；批发与零售的概念、类型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识记：分销渠道的概念与特征；营销渠道的概念；批发与零售的概念、类型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了解：分销渠道的类型；分销渠道设计的影响因素；分销渠道的管理</w:t>
      </w:r>
    </w:p>
    <w:p w:rsidR="00C43CB5" w:rsidRDefault="00F47CE0">
      <w:pPr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简单应用：分销渠道的设计步骤</w:t>
      </w:r>
    </w:p>
    <w:p w:rsidR="00C43CB5" w:rsidRDefault="00F47CE0">
      <w:pPr>
        <w:adjustRightInd w:val="0"/>
        <w:snapToGrid w:val="0"/>
        <w:spacing w:line="240" w:lineRule="auto"/>
        <w:ind w:firstLine="422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第十一章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促销策略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考试内容：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促销的含义、特征；促销组合的概念及内容；四大促销方式的比较；促销组合的影响因素；人员推销的概念、特点；人员推销的对象、形式及基本策略；人员推销的管理；广告的概念、基本特征及分类；广告设计的原则；广告效果的测量；广告媒体的选择；营业推广的概念、特点及方式；公共关系的概念、特点及方式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考核要求：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>识记：促销的含义、特征；促销组合的概念及内容；人员推销的概念、特点；广告的概念、基本特征及分类；营业推广的概念、特点及方式；公共关系的概念、特点及方式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>了解：四大促销方式的比较；促销组合的影响因素；人员推销的对</w:t>
      </w:r>
      <w:r>
        <w:rPr>
          <w:rFonts w:asciiTheme="minorEastAsia" w:eastAsiaTheme="minorEastAsia" w:hAnsiTheme="minorEastAsia" w:hint="eastAsia"/>
          <w:sz w:val="21"/>
          <w:szCs w:val="21"/>
        </w:rPr>
        <w:t>象、形式及基本策略；人员推销的管理；广告设计的原则；广告效果的测量；广告媒体的选择；</w:t>
      </w:r>
    </w:p>
    <w:p w:rsidR="00C43CB5" w:rsidRDefault="00F47CE0">
      <w:pPr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>简单应用：如何制定促销组合策略</w:t>
      </w:r>
    </w:p>
    <w:p w:rsidR="00C43CB5" w:rsidRDefault="00F47CE0">
      <w:pPr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</w:t>
      </w:r>
      <w:r>
        <w:rPr>
          <w:rFonts w:asciiTheme="minorEastAsia" w:eastAsiaTheme="minorEastAsia" w:hAnsiTheme="minorEastAsia" w:hint="eastAsia"/>
          <w:sz w:val="21"/>
          <w:szCs w:val="21"/>
        </w:rPr>
        <w:t>、综合应用：如何围绕目标市场战略制定</w:t>
      </w:r>
      <w:r>
        <w:rPr>
          <w:rFonts w:asciiTheme="minorEastAsia" w:eastAsiaTheme="minorEastAsia" w:hAnsiTheme="minorEastAsia" w:hint="eastAsia"/>
          <w:sz w:val="21"/>
          <w:szCs w:val="21"/>
        </w:rPr>
        <w:t>4P</w:t>
      </w:r>
      <w:r>
        <w:rPr>
          <w:rFonts w:asciiTheme="minorEastAsia" w:eastAsiaTheme="minorEastAsia" w:hAnsiTheme="minorEastAsia" w:hint="eastAsia"/>
          <w:sz w:val="21"/>
          <w:szCs w:val="21"/>
        </w:rPr>
        <w:t>组合策略</w:t>
      </w:r>
    </w:p>
    <w:p w:rsidR="00C43CB5" w:rsidRDefault="00C43CB5">
      <w:pPr>
        <w:spacing w:line="240" w:lineRule="auto"/>
        <w:ind w:firstLine="480"/>
        <w:rPr>
          <w:rFonts w:ascii="黑体" w:eastAsia="黑体" w:hAnsi="宋体"/>
        </w:rPr>
      </w:pPr>
    </w:p>
    <w:p w:rsidR="00C43CB5" w:rsidRDefault="00F47CE0">
      <w:pPr>
        <w:spacing w:line="240" w:lineRule="auto"/>
        <w:ind w:firstLine="48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五、试题结构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hint="eastAsia"/>
          <w:sz w:val="21"/>
          <w:szCs w:val="21"/>
        </w:rPr>
        <w:t>）市场营销概述（</w:t>
      </w:r>
      <w:r>
        <w:rPr>
          <w:rFonts w:asciiTheme="minorEastAsia" w:eastAsiaTheme="minorEastAsia" w:hAnsiTheme="minorEastAsia" w:hint="eastAsia"/>
          <w:sz w:val="21"/>
          <w:szCs w:val="21"/>
        </w:rPr>
        <w:t>10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hint="eastAsia"/>
          <w:sz w:val="21"/>
          <w:szCs w:val="21"/>
        </w:rPr>
        <w:t>）市场营销环境（</w:t>
      </w:r>
      <w:r>
        <w:rPr>
          <w:rFonts w:asciiTheme="minorEastAsia" w:eastAsiaTheme="minorEastAsia" w:hAnsiTheme="minorEastAsia" w:hint="eastAsia"/>
          <w:sz w:val="21"/>
          <w:szCs w:val="21"/>
        </w:rPr>
        <w:t>6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）消费者市场和购买行为分析（</w:t>
      </w:r>
      <w:r>
        <w:rPr>
          <w:rFonts w:asciiTheme="minorEastAsia" w:eastAsiaTheme="minorEastAsia" w:hAnsiTheme="minorEastAsia" w:hint="eastAsia"/>
          <w:sz w:val="21"/>
          <w:szCs w:val="21"/>
        </w:rPr>
        <w:t>12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4</w:t>
      </w:r>
      <w:r>
        <w:rPr>
          <w:rFonts w:asciiTheme="minorEastAsia" w:eastAsiaTheme="minorEastAsia" w:hAnsiTheme="minorEastAsia" w:hint="eastAsia"/>
          <w:sz w:val="21"/>
          <w:szCs w:val="21"/>
        </w:rPr>
        <w:t>）组织市场和购买行为分析（</w:t>
      </w:r>
      <w:r w:rsidR="00E00A31">
        <w:rPr>
          <w:rFonts w:asciiTheme="minorEastAsia" w:eastAsiaTheme="minorEastAsia" w:hAnsiTheme="minorEastAsia"/>
          <w:sz w:val="21"/>
          <w:szCs w:val="21"/>
        </w:rPr>
        <w:t>0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5</w:t>
      </w:r>
      <w:r>
        <w:rPr>
          <w:rFonts w:asciiTheme="minorEastAsia" w:eastAsiaTheme="minorEastAsia" w:hAnsiTheme="minorEastAsia" w:hint="eastAsia"/>
          <w:sz w:val="21"/>
          <w:szCs w:val="21"/>
        </w:rPr>
        <w:t>）市场营销调研与预测（</w:t>
      </w:r>
      <w:r>
        <w:rPr>
          <w:rFonts w:asciiTheme="minorEastAsia" w:eastAsiaTheme="minorEastAsia" w:hAnsiTheme="minorEastAsia" w:hint="eastAsia"/>
          <w:sz w:val="21"/>
          <w:szCs w:val="21"/>
        </w:rPr>
        <w:t>10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6</w:t>
      </w:r>
      <w:r>
        <w:rPr>
          <w:rFonts w:asciiTheme="minorEastAsia" w:eastAsiaTheme="minorEastAsia" w:hAnsiTheme="minorEastAsia" w:hint="eastAsia"/>
          <w:sz w:val="21"/>
          <w:szCs w:val="21"/>
        </w:rPr>
        <w:t>）企业战略规划与营销管理（</w:t>
      </w:r>
      <w:r w:rsidR="00E00A31">
        <w:rPr>
          <w:rFonts w:asciiTheme="minorEastAsia" w:eastAsiaTheme="minorEastAsia" w:hAnsiTheme="minorEastAsia"/>
          <w:sz w:val="21"/>
          <w:szCs w:val="21"/>
        </w:rPr>
        <w:t>9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7</w:t>
      </w:r>
      <w:r>
        <w:rPr>
          <w:rFonts w:asciiTheme="minorEastAsia" w:eastAsiaTheme="minorEastAsia" w:hAnsiTheme="minorEastAsia" w:hint="eastAsia"/>
          <w:sz w:val="21"/>
          <w:szCs w:val="21"/>
        </w:rPr>
        <w:t>）目标市场营销战略（</w:t>
      </w:r>
      <w:r>
        <w:rPr>
          <w:rFonts w:asciiTheme="minorEastAsia" w:eastAsiaTheme="minorEastAsia" w:hAnsiTheme="minorEastAsia" w:hint="eastAsia"/>
          <w:sz w:val="21"/>
          <w:szCs w:val="21"/>
        </w:rPr>
        <w:t>15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8</w:t>
      </w:r>
      <w:r>
        <w:rPr>
          <w:rFonts w:asciiTheme="minorEastAsia" w:eastAsiaTheme="minorEastAsia" w:hAnsiTheme="minorEastAsia" w:hint="eastAsia"/>
          <w:sz w:val="21"/>
          <w:szCs w:val="21"/>
        </w:rPr>
        <w:t>）产品策略（</w:t>
      </w:r>
      <w:r>
        <w:rPr>
          <w:rFonts w:asciiTheme="minorEastAsia" w:eastAsiaTheme="minorEastAsia" w:hAnsiTheme="minorEastAsia" w:hint="eastAsia"/>
          <w:sz w:val="21"/>
          <w:szCs w:val="21"/>
        </w:rPr>
        <w:t>12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9</w:t>
      </w:r>
      <w:r>
        <w:rPr>
          <w:rFonts w:asciiTheme="minorEastAsia" w:eastAsiaTheme="minorEastAsia" w:hAnsiTheme="minorEastAsia" w:hint="eastAsia"/>
          <w:sz w:val="21"/>
          <w:szCs w:val="21"/>
        </w:rPr>
        <w:t>）定价策略（</w:t>
      </w:r>
      <w:r>
        <w:rPr>
          <w:rFonts w:asciiTheme="minorEastAsia" w:eastAsiaTheme="minorEastAsia" w:hAnsiTheme="minorEastAsia" w:hint="eastAsia"/>
          <w:sz w:val="21"/>
          <w:szCs w:val="21"/>
        </w:rPr>
        <w:t>8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10</w:t>
      </w:r>
      <w:r>
        <w:rPr>
          <w:rFonts w:asciiTheme="minorEastAsia" w:eastAsiaTheme="minorEastAsia" w:hAnsiTheme="minorEastAsia" w:hint="eastAsia"/>
          <w:sz w:val="21"/>
          <w:szCs w:val="21"/>
        </w:rPr>
        <w:t>）分销渠道策略（</w:t>
      </w:r>
      <w:r>
        <w:rPr>
          <w:rFonts w:asciiTheme="minorEastAsia" w:eastAsiaTheme="minorEastAsia" w:hAnsiTheme="minorEastAsia" w:hint="eastAsia"/>
          <w:sz w:val="21"/>
          <w:szCs w:val="21"/>
        </w:rPr>
        <w:t>8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>11</w:t>
      </w:r>
      <w:r>
        <w:rPr>
          <w:rFonts w:asciiTheme="minorEastAsia" w:eastAsiaTheme="minorEastAsia" w:hAnsiTheme="minorEastAsia" w:hint="eastAsia"/>
          <w:sz w:val="21"/>
          <w:szCs w:val="21"/>
        </w:rPr>
        <w:t>）促销策略（</w:t>
      </w:r>
      <w:r>
        <w:rPr>
          <w:rFonts w:asciiTheme="minorEastAsia" w:eastAsiaTheme="minorEastAsia" w:hAnsiTheme="minorEastAsia" w:hint="eastAsia"/>
          <w:sz w:val="21"/>
          <w:szCs w:val="21"/>
        </w:rPr>
        <w:t>10</w:t>
      </w:r>
      <w:r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C43CB5" w:rsidRDefault="00C43CB5">
      <w:pPr>
        <w:spacing w:line="240" w:lineRule="auto"/>
        <w:ind w:firstLine="480"/>
        <w:rPr>
          <w:rFonts w:ascii="黑体" w:eastAsia="黑体" w:hAnsi="宋体"/>
        </w:rPr>
      </w:pPr>
    </w:p>
    <w:p w:rsidR="00C43CB5" w:rsidRDefault="00F47CE0">
      <w:pPr>
        <w:spacing w:line="240" w:lineRule="auto"/>
        <w:ind w:firstLine="48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六、考试要求</w:t>
      </w:r>
    </w:p>
    <w:p w:rsidR="00C43CB5" w:rsidRDefault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本课程考试为闭卷考试，考生不得携带任何纸张、教材、笔记本、作业本、参考资料、电子读物、电子器具和工具书等进入考场。</w:t>
      </w:r>
    </w:p>
    <w:p w:rsidR="00C43CB5" w:rsidRDefault="00C43CB5">
      <w:pPr>
        <w:spacing w:line="240" w:lineRule="auto"/>
        <w:ind w:firstLine="480"/>
        <w:rPr>
          <w:rFonts w:ascii="黑体" w:eastAsia="黑体" w:hAnsi="宋体"/>
        </w:rPr>
      </w:pPr>
    </w:p>
    <w:p w:rsidR="00C43CB5" w:rsidRDefault="00F47CE0">
      <w:pPr>
        <w:spacing w:line="240" w:lineRule="auto"/>
        <w:ind w:firstLine="48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七、主要参考书</w:t>
      </w:r>
    </w:p>
    <w:p w:rsidR="00C43CB5" w:rsidRPr="00F47CE0" w:rsidRDefault="00F47CE0" w:rsidP="00F47CE0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F47CE0">
        <w:rPr>
          <w:rFonts w:asciiTheme="minorEastAsia" w:eastAsiaTheme="minorEastAsia" w:hAnsiTheme="minorEastAsia" w:hint="eastAsia"/>
          <w:sz w:val="21"/>
          <w:szCs w:val="21"/>
        </w:rPr>
        <w:t>吴健安</w:t>
      </w:r>
      <w:r w:rsidRPr="00F47CE0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Pr="00F47CE0">
        <w:rPr>
          <w:rFonts w:asciiTheme="minorEastAsia" w:eastAsiaTheme="minorEastAsia" w:hAnsiTheme="minorEastAsia" w:hint="eastAsia"/>
          <w:sz w:val="21"/>
          <w:szCs w:val="21"/>
        </w:rPr>
        <w:t>《市场营销学》（第六版）</w:t>
      </w:r>
      <w:r w:rsidRPr="00F47CE0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bookmarkStart w:id="0" w:name="_GoBack"/>
      <w:bookmarkEnd w:id="0"/>
      <w:r w:rsidRPr="00F47CE0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Pr="00F47CE0">
        <w:rPr>
          <w:rFonts w:asciiTheme="minorEastAsia" w:eastAsiaTheme="minorEastAsia" w:hAnsiTheme="minorEastAsia" w:hint="eastAsia"/>
          <w:sz w:val="21"/>
          <w:szCs w:val="21"/>
        </w:rPr>
        <w:t>高等教育出版社</w:t>
      </w:r>
      <w:r w:rsidRPr="00F47CE0">
        <w:rPr>
          <w:rFonts w:asciiTheme="minorEastAsia" w:eastAsiaTheme="minorEastAsia" w:hAnsiTheme="minorEastAsia" w:hint="eastAsia"/>
          <w:sz w:val="21"/>
          <w:szCs w:val="21"/>
        </w:rPr>
        <w:t xml:space="preserve">   2017</w:t>
      </w:r>
    </w:p>
    <w:p w:rsidR="00C43CB5" w:rsidRDefault="00C43CB5">
      <w:pPr>
        <w:ind w:firstLine="480"/>
      </w:pPr>
    </w:p>
    <w:sectPr w:rsidR="00C43C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CB5"/>
    <w:rsid w:val="001F78E6"/>
    <w:rsid w:val="007F6B14"/>
    <w:rsid w:val="00C43CB5"/>
    <w:rsid w:val="00E00A31"/>
    <w:rsid w:val="00F47CE0"/>
    <w:rsid w:val="1516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C37448E-4DA4-4822-A5D1-2143E7E6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ind w:firstLineChars="200" w:firstLine="723"/>
      <w:jc w:val="both"/>
    </w:pPr>
    <w:rPr>
      <w:rFonts w:ascii="Calibri" w:eastAsia="宋体" w:hAnsi="Calibri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503</Words>
  <Characters>2868</Characters>
  <Application>Microsoft Office Word</Application>
  <DocSecurity>0</DocSecurity>
  <Lines>23</Lines>
  <Paragraphs>6</Paragraphs>
  <ScaleCrop>false</ScaleCrop>
  <Company>微软中国</Company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2021-03-14T11:51:00Z</dcterms:created>
  <dcterms:modified xsi:type="dcterms:W3CDTF">2021-03-14T11:51:00Z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